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90.png" ContentType="image/png"/>
  <Override PartName="/word/media/rId89.png" ContentType="image/png"/>
  <Override PartName="/word/media/rId86.png" ContentType="image/png"/>
  <Override PartName="/word/media/rId85.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28</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22.39 - 50.73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w:t>
      </w:r>
    </w:p>
    <w:p>
      <w:pPr>
        <w:pStyle w:val="BodyText"/>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This translates to adult Chinook equivalents between 571 and 1,269 (Figure</w:t>
      </w:r>
      <w:r>
        <w:t xml:space="preserve"> </w:t>
      </w:r>
      <w:r>
        <w:t xml:space="preserve">6</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projections for the lower Columbia River (Beamesderfer et al. 1996) where substantial Northern Pikeminnow predation impacts on salmonids have led to bounty programs aimed at reducing Northern Pikeminnow abundance.</w:t>
      </w:r>
    </w:p>
    <w:bookmarkEnd w:id="38"/>
    <w:bookmarkStart w:id="39" w:name="conclusions"/>
    <w:p>
      <w:pPr>
        <w:pStyle w:val="Heading2"/>
      </w:pPr>
      <w:r>
        <w:t xml:space="preserve">Conclusions</w:t>
      </w:r>
    </w:p>
    <w:p>
      <w:pPr>
        <w:numPr>
          <w:ilvl w:val="0"/>
          <w:numId w:val="1003"/>
        </w:numPr>
        <w:pStyle w:val="Compact"/>
      </w:pPr>
      <w:r>
        <w:t xml:space="preserve">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the Bureau of Reclamation, Idaho Office of Species Conservation, Idaho Deparment of Fish and Game, and the Lemhi Regional Land Trust, among others. Special thanks to Chelsea Welke, Tulley Mackey, Jared Barker, and Brian Hamilton for their help in the field. Special thanks to Caitlin Alcott and Inter-Fluve for their administrative support and guidance. Funding for this study was provided by the Bureau of Reclamation, Pacific Northwest Regional Office (contract No. 140R1021F0018) with assistance from the Idaho Office of Species Conservation.</w:t>
      </w:r>
    </w:p>
    <w:p>
      <w:r>
        <w:br w:type="page"/>
      </w:r>
    </w:p>
    <w:bookmarkEnd w:id="41"/>
    <w:bookmarkStart w:id="81" w:name="literature-cited"/>
    <w:p>
      <w:pPr>
        <w:pStyle w:val="Heading1"/>
      </w:pPr>
      <w:r>
        <w:t xml:space="preserve">Literature Cited</w:t>
      </w:r>
    </w:p>
    <w:bookmarkStart w:id="80"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4"/>
    <w:bookmarkStart w:id="45"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5"/>
    <w:bookmarkStart w:id="46"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8"/>
    <w:bookmarkStart w:id="49"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9"/>
    <w:bookmarkStart w:id="50"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50"/>
    <w:bookmarkStart w:id="51"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2"/>
    <w:bookmarkStart w:id="53"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3"/>
    <w:bookmarkStart w:id="54"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4"/>
    <w:bookmarkStart w:id="55"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5"/>
    <w:bookmarkStart w:id="56"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6"/>
    <w:bookmarkStart w:id="5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7"/>
    <w:bookmarkStart w:id="58"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8"/>
    <w:bookmarkStart w:id="59" w:name="ref-Lott2020"/>
    <w:p>
      <w:pPr>
        <w:pStyle w:val="Bibliography"/>
      </w:pPr>
      <w:r>
        <w:t xml:space="preserve">Lott, B., K. See, M. W. Ackerman, and N. Porter. 2020. Deadwater predator assessment. Technical report prepared by Biomark, Inc. Prepared for Bureau of Reclamation, Department of Interior.</w:t>
      </w:r>
    </w:p>
    <w:bookmarkEnd w:id="59"/>
    <w:bookmarkStart w:id="60"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0"/>
    <w:bookmarkStart w:id="61"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1"/>
    <w:bookmarkStart w:id="62"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2"/>
    <w:bookmarkStart w:id="63"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3"/>
    <w:bookmarkStart w:id="64"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4"/>
    <w:bookmarkStart w:id="65"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5"/>
    <w:bookmarkStart w:id="66"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6"/>
    <w:bookmarkStart w:id="67"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7"/>
    <w:bookmarkStart w:id="68"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8"/>
    <w:bookmarkStart w:id="69"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9"/>
    <w:bookmarkStart w:id="70"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0"/>
    <w:bookmarkStart w:id="71"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1"/>
    <w:bookmarkStart w:id="72"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2"/>
    <w:bookmarkStart w:id="73"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3"/>
    <w:bookmarkStart w:id="74"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4"/>
    <w:bookmarkStart w:id="75"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5"/>
    <w:bookmarkStart w:id="76"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6"/>
    <w:bookmarkStart w:id="77"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7"/>
    <w:bookmarkStart w:id="78"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8"/>
    <w:bookmarkStart w:id="79"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9"/>
    <w:bookmarkEnd w:id="80"/>
    <w:p>
      <w:r>
        <w:br w:type="page"/>
      </w:r>
    </w:p>
    <w:bookmarkEnd w:id="81"/>
    <w:bookmarkStart w:id="83" w:name="tables"/>
    <w:p>
      <w:pPr>
        <w:pStyle w:val="Heading1"/>
      </w:pPr>
      <w:r>
        <w:t xml:space="preserve">Tables</w:t>
      </w:r>
    </w:p>
    <w:bookmarkStart w:id="82" w:name="tables"/>
    <w:bookmarkEnd w:id="8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3"/>
    <w:bookmarkStart w:id="92" w:name="figures"/>
    <w:p>
      <w:pPr>
        <w:pStyle w:val="Heading1"/>
      </w:pPr>
      <w:r>
        <w:t xml:space="preserve">Figures</w:t>
      </w:r>
    </w:p>
    <w:bookmarkStart w:id="84" w:name="figures"/>
    <w:bookmarkEnd w:id="8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1" w:name="colophon"/>
    <w:p>
      <w:pPr>
        <w:pStyle w:val="Heading3"/>
      </w:pPr>
      <w:r>
        <w:t xml:space="preserve">Colophon</w:t>
      </w:r>
    </w:p>
    <w:p>
      <w:pPr>
        <w:pStyle w:val="FirstParagraph"/>
      </w:pPr>
      <w:r>
        <w:t xml:space="preserve">This report was generated on 2021-12-28 09:13:14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2021-12-28</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[0187386] 2021-12-23: updates to acknowledgements</w:t>
      </w:r>
    </w:p>
    <w:bookmarkEnd w:id="91"/>
    <w:bookmarkEnd w:id="9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2021-12-28T16:13:16Z</dcterms:created>
  <dcterms:modified xsi:type="dcterms:W3CDTF">2021-12-28T16:13:16Z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28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